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1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زايد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عقايل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                 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المجموعة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١.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منصة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مهارة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٢.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منصة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ندرس</w:t>
            </w:r>
          </w:p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٣.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منصة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كورسات</w:t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٤.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منصة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ادلال</w:t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٥.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كتاب</w:t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١.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الشامل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الدكتور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صلاح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معمار</w:t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Arial" w:cs="Arial" w:eastAsia="Arial" w:hAnsi="Arial"/>
                <w:b w:val="1"/>
                <w:color w:val="4a4d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٢.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مهارات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البائع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الناجح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مهند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مجيد</w:t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Arial" w:cs="Arial" w:eastAsia="Arial" w:hAnsi="Arial"/>
                <w:b w:val="1"/>
                <w:color w:val="4a4d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٣.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دورة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تحليل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طارق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حافظ</w:t>
            </w:r>
          </w:p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Arial" w:cs="Arial" w:eastAsia="Arial" w:hAnsi="Arial"/>
                <w:b w:val="1"/>
                <w:color w:val="4a4d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٤.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دورة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ادارة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التغير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مهند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4d55"/>
                <w:sz w:val="33"/>
                <w:szCs w:val="33"/>
                <w:rtl w:val="1"/>
              </w:rPr>
              <w:t xml:space="preserve">عصفور</w:t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٥.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العادات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الذرية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١.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اربع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ساعات</w:t>
            </w:r>
          </w:p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٢.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ساعتين</w:t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٣.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ساعتين</w:t>
            </w:r>
          </w:p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٤.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ساعات</w:t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٥.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ساعتين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-67317</wp:posOffset>
                  </wp:positionH>
                  <wp:positionV relativeFrom="paragraph">
                    <wp:posOffset>44273</wp:posOffset>
                  </wp:positionV>
                  <wp:extent cx="10730350" cy="6825312"/>
                  <wp:effectExtent b="0" l="0" r="0" t="0"/>
                  <wp:wrapNone/>
                  <wp:docPr id="15098195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9987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0350" cy="68253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jc w:val="center"/>
              <w:rPr>
                <w:color w:val="21212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١.</w:t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تتحدث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تقسيمات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أنماط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التفكير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الأربعة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نموذج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نصفي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الدماغ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وتقسيم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هيرمان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الرباعي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لها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3" w:sz="0" w:val="none"/>
                <w:right w:color="auto" w:space="0" w:sz="0" w:val="none"/>
              </w:pBdr>
              <w:bidi w:val="1"/>
              <w:rPr>
                <w:color w:val="212121"/>
                <w:sz w:val="28"/>
                <w:szCs w:val="28"/>
              </w:rPr>
            </w:pP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ونتعلم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أنماط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التفكير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الأربعة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ومعاييرها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أيضا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التدرب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بناء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الأنماط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الأربعة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للوصول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العقلية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28"/>
                <w:szCs w:val="28"/>
                <w:rtl w:val="1"/>
              </w:rPr>
              <w:t xml:space="preserve">الشاملة</w:t>
            </w:r>
          </w:p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rial" w:cs="Arial" w:eastAsia="Arial" w:hAnsi="Arial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٢.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واكتساب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السمات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التسعة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بشخصية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البائع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الناجح</w:t>
            </w:r>
          </w:p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Arial" w:cs="Arial" w:eastAsia="Arial" w:hAnsi="Arial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٣.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تحليل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مجموعة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الخطوات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والعمليات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المنظمة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والمدروسة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الهادفة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الإلمام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بالأبعاد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النفسية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للشخصيات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لوضع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تصور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شامل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وكامل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لها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وبكل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تظهره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تكتمه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مشاعر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وأفكار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تحدد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طريقة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تفاعل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صاحبها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يحيط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به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أحداث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1"/>
              </w:rPr>
              <w:t xml:space="preserve">أشخاص</w:t>
            </w:r>
          </w:p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Arial" w:cs="Arial" w:eastAsia="Arial" w:hAnsi="Arial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٤.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التغيير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وماهي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تقاوم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التغيير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وهل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فعلا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حقيقة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؟،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التغيير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وكيف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يستفيد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منه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مدراء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والأفراد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توقع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وكيفية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التعامل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معه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لتحقيق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فرص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نجاح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1"/>
              </w:rPr>
              <w:t xml:space="preserve">حقيقية</w:t>
            </w:r>
          </w:p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Arial" w:cs="Arial" w:eastAsia="Arial" w:hAnsi="Arial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8"/>
                <w:szCs w:val="28"/>
                <w:rtl w:val="0"/>
              </w:rPr>
              <w:t xml:space="preserve">٥.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849" w:top="198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4760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FV/BV2ue9xTLlUHQngQlhD4ZQ==">CgMxLjA4AHIhMXVRbXJHRVNaU0JOVUc1MnRHRkpRTWxiV1NjTjBKNWtq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2019-03-13T16:32:00Z</dcterms:created>
  <dc:creator>cawadir</dc:creator>
</cp:coreProperties>
</file>