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1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معاشي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الجمعية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جمعية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الشبابية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اليوتيوب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العادات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الذرية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١:٣٠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فهمنا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الكتاب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عادات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شيئين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البداية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 ١.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اهداف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محددة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نسيانها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٢.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التركيز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الانظمةالتي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علينا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اتباعها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وقد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الكتاب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اربع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قوانين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لأكتساب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جيدة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اجعلها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واضحة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اجعلها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سهلة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اجعلها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جذابة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اجعلها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مشبعة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والغوص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مفاهيم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القوانين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الاربعة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يجعل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العادات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سهلا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بالنسبة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إلينا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49" w:top="19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-449577</wp:posOffset>
          </wp:positionV>
          <wp:extent cx="10730350" cy="6825312"/>
          <wp:effectExtent b="0" l="0" r="0" t="0"/>
          <wp:wrapNone/>
          <wp:docPr id="15098195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987" l="0" r="0" t="0"/>
                  <a:stretch>
                    <a:fillRect/>
                  </a:stretch>
                </pic:blipFill>
                <pic:spPr>
                  <a:xfrm>
                    <a:off x="0" y="0"/>
                    <a:ext cx="10730350" cy="68253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4760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v92Ui+Fb7TVv6xTjMl0tIPYNg==">CgMxLjA4AHIhMUw5WnFzbnpXOWxDdDZUdkwwMnFPZVRtV1pVS3F3YkdP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2019-03-13T16:32:00Z</dcterms:created>
  <dc:creator>cawadir</dc:creator>
</cp:coreProperties>
</file>