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03" w:leader="none"/>
        </w:tabs>
        <w:bidi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D0D0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D0D0D"/>
          <w:spacing w:val="0"/>
          <w:position w:val="0"/>
          <w:sz w:val="24"/>
          <w:shd w:fill="auto" w:val="clear"/>
        </w:rPr>
        <w:tab/>
      </w:r>
    </w:p>
    <w:tbl>
      <w:tblPr/>
      <w:tblGrid>
        <w:gridCol w:w="2346"/>
        <w:gridCol w:w="2761"/>
        <w:gridCol w:w="2825"/>
        <w:gridCol w:w="2388"/>
      </w:tblGrid>
      <w:tr>
        <w:trPr>
          <w:trHeight w:val="960" w:hRule="auto"/>
          <w:jc w:val="left"/>
        </w:trPr>
        <w:tc>
          <w:tcPr>
            <w:tcW w:w="10320" w:type="dxa"/>
            <w:gridSpan w:val="4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6bfda" w:val="clear"/>
            <w:tcMar>
              <w:left w:w="0" w:type="dxa"/>
              <w:right w:w="0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30"/>
                <w:shd w:fill="auto" w:val="clear"/>
              </w:rPr>
              <w:t xml:space="preserve">نموذج تلخيص كتاب في 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30"/>
                <w:shd w:fill="auto" w:val="clear"/>
              </w:rPr>
              <w:t xml:space="preserve">"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30"/>
                <w:shd w:fill="auto" w:val="clear"/>
              </w:rPr>
              <w:t xml:space="preserve">برنامج بوصلة الطاقات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30"/>
                <w:shd w:fill="auto" w:val="clear"/>
              </w:rPr>
              <w:t xml:space="preserve">"</w:t>
            </w:r>
          </w:p>
        </w:tc>
      </w:tr>
      <w:tr>
        <w:trPr>
          <w:trHeight w:val="743" w:hRule="auto"/>
          <w:jc w:val="left"/>
        </w:trPr>
        <w:tc>
          <w:tcPr>
            <w:tcW w:w="7932" w:type="dxa"/>
            <w:gridSpan w:val="3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بدر لافي عواد العنزي </w:t>
            </w: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الاسم المشارك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</w:tr>
      <w:tr>
        <w:trPr>
          <w:trHeight w:val="765" w:hRule="auto"/>
          <w:jc w:val="left"/>
        </w:trPr>
        <w:tc>
          <w:tcPr>
            <w:tcW w:w="2346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Putnam Publishing Group</w:t>
            </w:r>
          </w:p>
        </w:tc>
        <w:tc>
          <w:tcPr>
            <w:tcW w:w="2761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دار النشر</w:t>
            </w:r>
          </w:p>
        </w:tc>
        <w:tc>
          <w:tcPr>
            <w:tcW w:w="2825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000000" w:fill="ffffff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من الذي حرك قطعة الجبن الخاصة بي؟</w:t>
            </w: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عنوان الكتاب</w:t>
            </w:r>
          </w:p>
        </w:tc>
      </w:tr>
      <w:tr>
        <w:trPr>
          <w:trHeight w:val="381" w:hRule="auto"/>
          <w:jc w:val="left"/>
        </w:trPr>
        <w:tc>
          <w:tcPr>
            <w:tcW w:w="2346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2761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عدد الصفحات</w:t>
            </w:r>
          </w:p>
        </w:tc>
        <w:tc>
          <w:tcPr>
            <w:tcW w:w="2825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000000" w:fill="ffffff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سبنسر جونسون</w:t>
            </w: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اسم المؤلف</w:t>
            </w:r>
          </w:p>
        </w:tc>
      </w:tr>
      <w:tr>
        <w:trPr>
          <w:trHeight w:val="426" w:hRule="auto"/>
          <w:jc w:val="left"/>
        </w:trPr>
        <w:tc>
          <w:tcPr>
            <w:tcW w:w="2346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2761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تاريخ إتمام القراءة</w:t>
            </w:r>
          </w:p>
        </w:tc>
        <w:tc>
          <w:tcPr>
            <w:tcW w:w="2825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000000" w:fill="ffffff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تاريخ بداية القراءة</w:t>
            </w:r>
          </w:p>
        </w:tc>
      </w:tr>
      <w:tr>
        <w:trPr>
          <w:trHeight w:val="1350" w:hRule="auto"/>
          <w:jc w:val="left"/>
        </w:trPr>
        <w:tc>
          <w:tcPr>
            <w:tcW w:w="7932" w:type="dxa"/>
            <w:gridSpan w:val="3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توضيح أهمية التغيير في الحياة وكيفية التعامل معه بشكل إيجابي، مع التركيز على المرونة والقدرة على التكيف لتحقيق النجاح الشخصي والمهني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هدف الكتاب العام</w:t>
            </w:r>
          </w:p>
        </w:tc>
      </w:tr>
      <w:tr>
        <w:trPr>
          <w:trHeight w:val="3735" w:hRule="auto"/>
          <w:jc w:val="left"/>
        </w:trPr>
        <w:tc>
          <w:tcPr>
            <w:tcW w:w="7932" w:type="dxa"/>
            <w:gridSpan w:val="3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يروي الكتاب قصة رمزية لأربعة شخصيات تبحث عن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الجبن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في متاهة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الجبن يمثل الأهداف والطموحات، والمتاهة ترمز للتحديات التي تواجهنا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تتفاوت استجابات الشخصيات تجاه فقدان الجبن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سنيف وسكوري يتكيفان بسرعة مع التغيير ويبدآن رحلة البحث عن جبن جديد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هيم يقاوم التغيير ويبقى عالقًا في مكانه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هاو يبدأ بالتعلم من التجربة ويتقبل التغيي بمرور الوقت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القصة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تسلط الضوء على أهمية التكيف مع التغيير وعدم التعلق بالماضي، وتعلمنا أن الخوف من التغيير يعوق النمو والنجاح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ملخص إجمالي للكتاب</w:t>
            </w:r>
          </w:p>
        </w:tc>
      </w:tr>
      <w:tr>
        <w:trPr>
          <w:trHeight w:val="426" w:hRule="auto"/>
          <w:jc w:val="left"/>
        </w:trPr>
        <w:tc>
          <w:tcPr>
            <w:tcW w:w="7932" w:type="dxa"/>
            <w:gridSpan w:val="3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التغيير كحقيقة حتمية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الحياة مليئة بالتغيرات التي لا يمكن تجنبها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أهمية المرونة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التكيف مع الظروف الجديدة يفتح أبوابًا للفرص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التصرف المبكر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مراقبة البيئة والتصرف السريع يساعدان في تحقيق النجاح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مخاطر مقاومة التغيير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الخوف والإنكار يعيقان التقدم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التعلم من التغيير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تجربة التغيير تمنحنا دروسًا تساعدنا على النمو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موضوعات الكتاب الرئيسة</w:t>
            </w:r>
          </w:p>
        </w:tc>
      </w:tr>
      <w:tr>
        <w:trPr>
          <w:trHeight w:val="3075" w:hRule="auto"/>
          <w:jc w:val="left"/>
        </w:trPr>
        <w:tc>
          <w:tcPr>
            <w:tcW w:w="7932" w:type="dxa"/>
            <w:gridSpan w:val="3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رصد التغيرات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مراقبة البيئة المحيطة واكتشاف علامات التغيير مبكرًا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التكيف بسرعة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العمل بمرونة للتأقلم مع الظروف الجديدة بدلاً من إنكارها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التخلي عن الماضي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الابتعاد عن التمسك بما لم يعد مفيدًا والمضي قدمًا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التعلم المستمر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الاستفادة من كل تجربة جديدة كفرصة للنمو والتطوير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التركيز على الفرص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البحث عن الجبن الجديد بدلًا من الحزن على الجبن المفقود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تحديد الأهداف بشكل مرن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مراجعة الأهداف بانتظام وتعديلها وفقًا للظروف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خطوات عملية وأدوات تفيدني في مضاعفة إنتاجيتي وتحقيق أهدافي وإدارة أولوياتي</w:t>
            </w:r>
          </w:p>
        </w:tc>
      </w:tr>
      <w:tr>
        <w:trPr>
          <w:trHeight w:val="426" w:hRule="auto"/>
          <w:jc w:val="left"/>
        </w:trPr>
        <w:tc>
          <w:tcPr>
            <w:tcW w:w="7932" w:type="dxa"/>
            <w:gridSpan w:val="3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auto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•“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إذا لم تتغير، فقد تنقرض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”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•“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كلما غادرت الجبن القديم، وجدت جبنًا جديدًا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”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•“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عندما تتجاوز مخاوفك، تشعر بالحرية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”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•“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التغيير يحدث؛ تقبله أو تجاوزه، لكن لا تتجاهله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D0D0D"/>
                <w:spacing w:val="0"/>
                <w:position w:val="0"/>
                <w:sz w:val="28"/>
                <w:shd w:fill="auto" w:val="clear"/>
              </w:rPr>
              <w:t xml:space="preserve">”</w:t>
            </w:r>
          </w:p>
        </w:tc>
        <w:tc>
          <w:tcPr>
            <w:tcW w:w="2388" w:type="dxa"/>
            <w:tcBorders>
              <w:top w:val="single" w:color="a6bfda" w:sz="12"/>
              <w:left w:val="single" w:color="a6bfda" w:sz="12"/>
              <w:bottom w:val="single" w:color="a6bfda" w:sz="12"/>
              <w:right w:val="single" w:color="a6bfda" w:sz="12"/>
            </w:tcBorders>
            <w:shd w:color="auto" w:fill="d6e1ee" w:val="clear"/>
            <w:tcMar>
              <w:left w:w="144" w:type="dxa"/>
              <w:right w:w="14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0"/>
                <w:shd w:fill="auto" w:val="clear"/>
              </w:rPr>
              <w:t xml:space="preserve">عبارات وأفكار ملهمة</w:t>
            </w:r>
          </w:p>
        </w:tc>
      </w:tr>
    </w:tbl>
    <w:p>
      <w:pPr>
        <w:bidi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D0D0D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