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ريماس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مهيدي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صالح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العنزي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ابناء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بتنام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؟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240" w:before="24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ساعتين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ساعتين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تحفيزي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؟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حكاية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مغزى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أخلاقي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دعيان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سنيف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سكوري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وقزمين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هاو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نريد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ويبحثون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يرمز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السعادة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المركز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متجاوزا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شعورك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ستشعر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بالحريه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السير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اتجاه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يجعلك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تعثر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مزيد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           .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المحاولات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رغم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الفشل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احدد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الاهداف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مفيده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240" w:before="24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اكثر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سهولة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خريطة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40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-540383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1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